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r>
    </w:p>
    <w:p>
      <w:pPr>
        <w:pStyle w:val="Normal"/>
        <w:spacing w:lineRule="auto" w:line="276"/>
        <w:jc w:val="center"/>
        <w:rPr>
          <w:rFonts w:ascii="Verdana" w:hAnsi="Verdana" w:cs="Arial"/>
          <w:b/>
          <w:bCs/>
          <w:szCs w:val="20"/>
        </w:rPr>
      </w:pPr>
      <w:r>
        <w:rPr>
          <w:rFonts w:cs="Arial" w:ascii="Verdana" w:hAnsi="Verdana"/>
          <w:b/>
          <w:bCs/>
          <w:szCs w:val="20"/>
        </w:rPr>
        <w:t>AVISO DE DISPENSA ELETRÔNICA Nº 001/2026</w:t>
      </w:r>
    </w:p>
    <w:p>
      <w:pPr>
        <w:pStyle w:val="Normal"/>
        <w:spacing w:lineRule="auto" w:line="276" w:before="0" w:after="120"/>
        <w:jc w:val="center"/>
        <w:rPr>
          <w:rFonts w:ascii="Verdana" w:hAnsi="Verdana" w:cs="Arial"/>
          <w:b/>
          <w:bCs/>
          <w:szCs w:val="20"/>
        </w:rPr>
      </w:pPr>
      <w:r>
        <w:rPr>
          <w:rFonts w:cs="Arial" w:ascii="Verdana" w:hAnsi="Verdana"/>
          <w:b/>
          <w:bCs/>
          <w:szCs w:val="20"/>
        </w:rPr>
        <w:t>(Processo Administrativo n.º 006/2026 de 27/01/2026)</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firstLine="540" w:end="-30"/>
        <w:jc w:val="both"/>
        <w:rPr>
          <w:rFonts w:ascii="Verdana" w:hAnsi="Verdana"/>
          <w:szCs w:val="20"/>
        </w:rPr>
      </w:pPr>
      <w:r>
        <w:rPr>
          <w:rFonts w:cs="Arial" w:ascii="Verdana" w:hAnsi="Verdana"/>
          <w:szCs w:val="20"/>
        </w:rPr>
        <w:t xml:space="preserve">Torna-se público que o Instituto de Previdência dos Servidores Públicos do Município de </w:t>
      </w:r>
      <w:r>
        <w:rPr>
          <w:rFonts w:eastAsia="Arial" w:cs="Arial" w:ascii="Verdana" w:hAnsi="Verdana"/>
          <w:szCs w:val="20"/>
        </w:rPr>
        <w:t xml:space="preserve">São Gabriel da Palha-ES – SGP-Prev, </w:t>
      </w:r>
      <w:r>
        <w:rPr>
          <w:rFonts w:cs="Arial" w:ascii="Verdana" w:hAnsi="Verdana"/>
          <w:szCs w:val="20"/>
        </w:rPr>
        <w:t xml:space="preserve">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global,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 xml:space="preserve">Data da sessão: </w:t>
      </w:r>
      <w:r>
        <w:rPr>
          <w:rFonts w:cs="Arial" w:ascii="Verdana" w:hAnsi="Verdana"/>
          <w:b/>
          <w:bCs/>
          <w:szCs w:val="20"/>
          <w:shd w:fill="auto" w:val="clear"/>
        </w:rPr>
        <w:t>14/04/2026</w:t>
      </w:r>
      <w:r>
        <w:rPr>
          <w:rFonts w:cs="Arial" w:ascii="Verdana" w:hAnsi="Verdana"/>
          <w:b/>
          <w:bCs/>
          <w:szCs w:val="20"/>
        </w:rPr>
        <w:t>.</w:t>
      </w:r>
    </w:p>
    <w:p>
      <w:pPr>
        <w:pStyle w:val="Normal"/>
        <w:spacing w:lineRule="auto" w:line="276"/>
        <w:rPr>
          <w:rFonts w:ascii="Verdana" w:hAnsi="Verdana" w:cs="Arial"/>
          <w:b/>
          <w:bCs/>
          <w:szCs w:val="20"/>
        </w:rPr>
      </w:pPr>
      <w:r>
        <w:rPr>
          <w:rStyle w:val="Hyperlink"/>
          <w:rFonts w:ascii="Verdana" w:hAnsi="Verdana"/>
          <w:b/>
          <w:bCs/>
          <w:color w:val="auto"/>
          <w:szCs w:val="20"/>
          <w:u w:val="none"/>
        </w:rPr>
        <w:t xml:space="preserve">Link: </w:t>
      </w:r>
      <w:hyperlink r:id="rId2">
        <w:r>
          <w:rPr>
            <w:rStyle w:val="Hyperlink"/>
            <w:rFonts w:ascii="Verdana" w:hAnsi="Verdana"/>
            <w:b/>
            <w:bCs/>
            <w:color w:val="auto"/>
            <w:szCs w:val="20"/>
            <w:u w:val="single"/>
          </w:rPr>
          <w:t>www.gov.br/compras</w:t>
        </w:r>
      </w:hyperlink>
    </w:p>
    <w:p>
      <w:pPr>
        <w:pStyle w:val="Normal"/>
        <w:spacing w:lineRule="auto" w:line="276"/>
        <w:jc w:val="both"/>
        <w:rPr>
          <w:rFonts w:ascii="Verdana" w:hAnsi="Verdana" w:cs="Arial"/>
          <w:b/>
          <w:bCs/>
          <w:szCs w:val="20"/>
        </w:rPr>
      </w:pPr>
      <w:r>
        <w:rPr>
          <w:rFonts w:cs="Arial" w:ascii="Verdana" w:hAnsi="Verdana"/>
          <w:b/>
          <w:bCs/>
          <w:szCs w:val="20"/>
        </w:rPr>
        <w:t>Horário da Fase de Lances: 08h00min as 14h00min.</w:t>
      </w:r>
      <w:r>
        <w:rPr>
          <w:rFonts w:cs="Arial" w:ascii="Verdana" w:hAnsi="Verdana"/>
          <w:b w:val="false"/>
          <w:bCs w:val="false"/>
          <w:szCs w:val="20"/>
        </w:rPr>
        <w:t xml:space="preserve"> </w:t>
      </w:r>
    </w:p>
    <w:p>
      <w:pPr>
        <w:pStyle w:val="Normal"/>
        <w:spacing w:lineRule="auto" w:line="276"/>
        <w:jc w:val="both"/>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0" w:after="0"/>
        <w:ind w:hanging="0" w:start="0"/>
        <w:rPr>
          <w:rFonts w:ascii="Verdana" w:hAnsi="Verdana"/>
          <w:sz w:val="20"/>
          <w:szCs w:val="20"/>
        </w:rPr>
      </w:pPr>
      <w:r>
        <w:rPr>
          <w:rFonts w:cs="Arial" w:ascii="Verdana" w:hAnsi="Verdana"/>
          <w:sz w:val="20"/>
          <w:szCs w:val="20"/>
        </w:rPr>
        <w:t xml:space="preserve">O objeto da presente dispensa é a escolha da proposta mais vantajosa para </w:t>
      </w:r>
      <w:bookmarkStart w:id="0" w:name="_Hlk158284997"/>
      <w:r>
        <w:rPr>
          <w:rFonts w:cs="Arial" w:ascii="Verdana" w:hAnsi="Verdana"/>
          <w:sz w:val="20"/>
          <w:szCs w:val="20"/>
        </w:rPr>
        <w:t xml:space="preserve">a </w:t>
      </w:r>
      <w:bookmarkEnd w:id="0"/>
      <w:r>
        <w:rPr>
          <w:rFonts w:eastAsia="Times New Roman" w:cs="Times New Roman" w:ascii="Verdana" w:hAnsi="Verdana"/>
          <w:b w:val="false"/>
          <w:bCs w:val="false"/>
          <w:iCs/>
          <w:color w:val="000000"/>
          <w:kern w:val="0"/>
          <w:sz w:val="20"/>
          <w:szCs w:val="20"/>
          <w:lang w:eastAsia="pt-BR" w:bidi="ar-SA"/>
        </w:rPr>
        <w:t>Contratação de empresa de assessoria previdenciária contínua, voltada para a área de gestão, visando a certificação do RPPS no programa de Certificação Institucional e Modernização dos Regimes Próprios de Previdenciária Social – PRÓ-GESTÃO RPPS, o processo de manutenção e aperfeiçoamento contínuo das dimensões do Pró-Gestão</w:t>
      </w:r>
      <w:bookmarkStart w:id="1" w:name="_Hlk158282862"/>
      <w:r>
        <w:rPr>
          <w:rFonts w:cs="Verdana" w:ascii="Verdana" w:hAnsi="Verdana"/>
          <w:sz w:val="20"/>
          <w:szCs w:val="20"/>
        </w:rPr>
        <w:t>,</w:t>
      </w:r>
      <w:r>
        <w:rPr>
          <w:rFonts w:cs="Arial" w:ascii="Verdana" w:hAnsi="Verdana"/>
          <w:sz w:val="20"/>
          <w:szCs w:val="20"/>
        </w:rPr>
        <w:t xml:space="preserve"> conforme condições, quantidades e exigências estabelecidas neste Aviso de Contratação Direta e seus anexos.</w:t>
      </w:r>
      <w:bookmarkEnd w:id="1"/>
    </w:p>
    <w:p>
      <w:pPr>
        <w:pStyle w:val="PADRO"/>
        <w:widowControl/>
        <w:shd w:val="clear" w:color="auto" w:fill="auto"/>
        <w:tabs>
          <w:tab w:val="clear" w:pos="708"/>
          <w:tab w:val="left" w:pos="284" w:leader="none"/>
          <w:tab w:val="left" w:pos="426" w:leader="none"/>
        </w:tabs>
        <w:spacing w:before="0" w:after="0"/>
        <w:ind w:hanging="0" w:start="0"/>
        <w:rPr>
          <w:rFonts w:ascii="Verdana" w:hAnsi="Verdana" w:cs="Arial"/>
          <w:sz w:val="20"/>
          <w:szCs w:val="20"/>
        </w:rPr>
      </w:pPr>
      <w:r>
        <w:rPr>
          <w:rFonts w:cs="Arial" w:ascii="Verdana" w:hAnsi="Verdana"/>
          <w:sz w:val="20"/>
          <w:szCs w:val="20"/>
        </w:rPr>
      </w:r>
    </w:p>
    <w:tbl>
      <w:tblPr>
        <w:tblW w:w="5000" w:type="pct"/>
        <w:jc w:val="start"/>
        <w:tblInd w:w="0" w:type="dxa"/>
        <w:tblLayout w:type="fixed"/>
        <w:tblCellMar>
          <w:top w:w="28" w:type="dxa"/>
          <w:start w:w="28" w:type="dxa"/>
          <w:bottom w:w="28" w:type="dxa"/>
          <w:end w:w="28" w:type="dxa"/>
        </w:tblCellMar>
      </w:tblPr>
      <w:tblGrid>
        <w:gridCol w:w="1981"/>
        <w:gridCol w:w="1988"/>
        <w:gridCol w:w="1981"/>
        <w:gridCol w:w="1988"/>
        <w:gridCol w:w="1985"/>
      </w:tblGrid>
      <w:tr>
        <w:trPr/>
        <w:tc>
          <w:tcPr>
            <w:tcW w:w="1981" w:type="dxa"/>
            <w:tcBorders>
              <w:top w:val="single" w:sz="6" w:space="0" w:color="000000"/>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ITEM</w:t>
            </w:r>
          </w:p>
        </w:tc>
        <w:tc>
          <w:tcPr>
            <w:tcW w:w="1988" w:type="dxa"/>
            <w:tcBorders>
              <w:top w:val="single" w:sz="6" w:space="0" w:color="000000"/>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DESCRIÇÃO/ESPECIFICAÇÃO</w:t>
            </w:r>
          </w:p>
        </w:tc>
        <w:tc>
          <w:tcPr>
            <w:tcW w:w="1981" w:type="dxa"/>
            <w:tcBorders>
              <w:top w:val="single" w:sz="6" w:space="0" w:color="000000"/>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CÓDIGO CATMAT/CATSER</w:t>
            </w:r>
          </w:p>
        </w:tc>
        <w:tc>
          <w:tcPr>
            <w:tcW w:w="1988" w:type="dxa"/>
            <w:tcBorders>
              <w:top w:val="single" w:sz="6" w:space="0" w:color="000000"/>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UNIDADE DE MEDIDA</w:t>
            </w:r>
          </w:p>
        </w:tc>
        <w:tc>
          <w:tcPr>
            <w:tcW w:w="1985" w:type="dxa"/>
            <w:tcBorders>
              <w:top w:val="single" w:sz="6" w:space="0" w:color="000000"/>
              <w:start w:val="single" w:sz="6" w:space="0" w:color="000000"/>
              <w:bottom w:val="single" w:sz="6" w:space="0" w:color="000000"/>
              <w:end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QUANTIDADE TOTAL SOLICITADA</w:t>
            </w:r>
          </w:p>
        </w:tc>
      </w:tr>
      <w:tr>
        <w:trPr/>
        <w:tc>
          <w:tcPr>
            <w:tcW w:w="1981" w:type="dxa"/>
            <w:tcBorders>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1</w:t>
            </w:r>
          </w:p>
        </w:tc>
        <w:tc>
          <w:tcPr>
            <w:tcW w:w="1988" w:type="dxa"/>
            <w:tcBorders>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Assessoria e Consultoria</w:t>
            </w:r>
          </w:p>
        </w:tc>
        <w:tc>
          <w:tcPr>
            <w:tcW w:w="1981" w:type="dxa"/>
            <w:tcBorders>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19755</w:t>
            </w:r>
          </w:p>
        </w:tc>
        <w:tc>
          <w:tcPr>
            <w:tcW w:w="1988" w:type="dxa"/>
            <w:tcBorders>
              <w:start w:val="single" w:sz="6" w:space="0" w:color="000000"/>
              <w:bottom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SERVIÇO</w:t>
            </w:r>
          </w:p>
        </w:tc>
        <w:tc>
          <w:tcPr>
            <w:tcW w:w="1985" w:type="dxa"/>
            <w:tcBorders>
              <w:start w:val="single" w:sz="6" w:space="0" w:color="000000"/>
              <w:bottom w:val="single" w:sz="6" w:space="0" w:color="000000"/>
              <w:end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01</w:t>
            </w:r>
          </w:p>
        </w:tc>
      </w:tr>
      <w:tr>
        <w:trPr/>
        <w:tc>
          <w:tcPr>
            <w:tcW w:w="9923" w:type="dxa"/>
            <w:gridSpan w:val="5"/>
            <w:tcBorders>
              <w:start w:val="single" w:sz="6" w:space="0" w:color="000000"/>
              <w:bottom w:val="single" w:sz="6" w:space="0" w:color="000000"/>
              <w:end w:val="single" w:sz="6" w:space="0" w:color="000000"/>
            </w:tcBorders>
          </w:tcPr>
          <w:p>
            <w:pPr>
              <w:pStyle w:val="Contedodatabelauser"/>
              <w:spacing w:before="0" w:after="160"/>
              <w:jc w:val="center"/>
              <w:rPr>
                <w:rFonts w:ascii="Verdana" w:hAnsi="Verdana"/>
                <w:sz w:val="20"/>
                <w:szCs w:val="20"/>
              </w:rPr>
            </w:pPr>
            <w:r>
              <w:rPr>
                <w:rFonts w:ascii="Verdana" w:hAnsi="Verdana"/>
                <w:sz w:val="20"/>
                <w:szCs w:val="20"/>
              </w:rPr>
              <w:t xml:space="preserve">Valor Total Estimado: R$ </w:t>
            </w:r>
            <w:r>
              <w:rPr>
                <w:rFonts w:cs="Times New Roman" w:ascii="Verdana" w:hAnsi="Verdana"/>
                <w:color w:val="000000"/>
                <w:sz w:val="20"/>
                <w:szCs w:val="20"/>
              </w:rPr>
              <w:t>51.150,00 (cinquenta e um mil cento e cinquenta reais)</w:t>
            </w:r>
          </w:p>
        </w:tc>
      </w:tr>
    </w:tbl>
    <w:p>
      <w:pPr>
        <w:pStyle w:val="TableParagraph"/>
        <w:widowControl w:val="false"/>
        <w:suppressAutoHyphens w:val="true"/>
        <w:spacing w:before="0" w:after="0"/>
        <w:jc w:val="start"/>
        <w:rPr/>
      </w:pPr>
      <w:r>
        <w:rPr>
          <w:rFonts w:ascii="Verdana" w:hAnsi="Verdana"/>
          <w:color w:val="FF0000"/>
          <w:spacing w:val="-1"/>
          <w:w w:val="105"/>
          <w:kern w:val="0"/>
          <w:sz w:val="18"/>
          <w:szCs w:val="18"/>
          <w:lang w:eastAsia="en-US" w:bidi="ar-SA"/>
        </w:rPr>
        <w:t>* Catálogo</w:t>
      </w:r>
      <w:r>
        <w:rPr>
          <w:rFonts w:ascii="Verdana" w:hAnsi="Verdana"/>
          <w:color w:val="FF0000"/>
          <w:spacing w:val="-3"/>
          <w:w w:val="105"/>
          <w:kern w:val="0"/>
          <w:sz w:val="18"/>
          <w:szCs w:val="18"/>
          <w:lang w:eastAsia="en-US" w:bidi="ar-SA"/>
        </w:rPr>
        <w:t xml:space="preserve"> </w:t>
      </w:r>
      <w:r>
        <w:rPr>
          <w:rFonts w:ascii="Verdana" w:hAnsi="Verdana"/>
          <w:color w:val="FF0000"/>
          <w:spacing w:val="-1"/>
          <w:w w:val="105"/>
          <w:kern w:val="0"/>
          <w:sz w:val="18"/>
          <w:szCs w:val="18"/>
          <w:lang w:eastAsia="en-US" w:bidi="ar-SA"/>
        </w:rPr>
        <w:t>de</w:t>
      </w:r>
      <w:r>
        <w:rPr>
          <w:rFonts w:ascii="Verdana" w:hAnsi="Verdana"/>
          <w:color w:val="FF0000"/>
          <w:spacing w:val="-9"/>
          <w:w w:val="105"/>
          <w:kern w:val="0"/>
          <w:sz w:val="18"/>
          <w:szCs w:val="18"/>
          <w:lang w:eastAsia="en-US" w:bidi="ar-SA"/>
        </w:rPr>
        <w:t xml:space="preserve"> </w:t>
      </w:r>
      <w:r>
        <w:rPr>
          <w:rFonts w:ascii="Verdana" w:hAnsi="Verdana"/>
          <w:color w:val="FF0000"/>
          <w:spacing w:val="-1"/>
          <w:w w:val="105"/>
          <w:kern w:val="0"/>
          <w:sz w:val="18"/>
          <w:szCs w:val="18"/>
          <w:lang w:eastAsia="en-US" w:bidi="ar-SA"/>
        </w:rPr>
        <w:t>Materiais</w:t>
      </w:r>
      <w:r>
        <w:rPr>
          <w:rFonts w:ascii="Verdana" w:hAnsi="Verdana"/>
          <w:color w:val="FF0000"/>
          <w:spacing w:val="-3"/>
          <w:w w:val="105"/>
          <w:kern w:val="0"/>
          <w:sz w:val="18"/>
          <w:szCs w:val="18"/>
          <w:lang w:eastAsia="en-US" w:bidi="ar-SA"/>
        </w:rPr>
        <w:t xml:space="preserve"> </w:t>
      </w:r>
      <w:r>
        <w:rPr>
          <w:rFonts w:ascii="Verdana" w:hAnsi="Verdana"/>
          <w:color w:val="FF0000"/>
          <w:spacing w:val="-1"/>
          <w:w w:val="105"/>
          <w:kern w:val="0"/>
          <w:sz w:val="18"/>
          <w:szCs w:val="18"/>
          <w:lang w:eastAsia="en-US" w:bidi="ar-SA"/>
        </w:rPr>
        <w:t>e</w:t>
      </w:r>
      <w:r>
        <w:rPr>
          <w:rFonts w:ascii="Verdana" w:hAnsi="Verdana"/>
          <w:color w:val="FF0000"/>
          <w:spacing w:val="-9"/>
          <w:w w:val="105"/>
          <w:kern w:val="0"/>
          <w:sz w:val="18"/>
          <w:szCs w:val="18"/>
          <w:lang w:eastAsia="en-US" w:bidi="ar-SA"/>
        </w:rPr>
        <w:t xml:space="preserve"> </w:t>
      </w:r>
      <w:r>
        <w:rPr>
          <w:rFonts w:ascii="Verdana" w:hAnsi="Verdana"/>
          <w:color w:val="FF0000"/>
          <w:spacing w:val="-1"/>
          <w:w w:val="105"/>
          <w:kern w:val="0"/>
          <w:sz w:val="18"/>
          <w:szCs w:val="18"/>
          <w:lang w:eastAsia="en-US" w:bidi="ar-SA"/>
        </w:rPr>
        <w:t>Serviços</w:t>
      </w:r>
      <w:r>
        <w:rPr>
          <w:rFonts w:ascii="Verdana" w:hAnsi="Verdana"/>
          <w:color w:val="FF0000"/>
          <w:spacing w:val="-3"/>
          <w:w w:val="105"/>
          <w:kern w:val="0"/>
          <w:sz w:val="18"/>
          <w:szCs w:val="18"/>
          <w:lang w:eastAsia="en-US" w:bidi="ar-SA"/>
        </w:rPr>
        <w:t xml:space="preserve"> </w:t>
      </w:r>
      <w:hyperlink r:id="rId3">
        <w:r>
          <w:rPr>
            <w:rStyle w:val="Style8"/>
            <w:rFonts w:ascii="Verdana" w:hAnsi="Verdana"/>
            <w:color w:val="0000ED"/>
            <w:spacing w:val="-1"/>
            <w:w w:val="105"/>
            <w:kern w:val="0"/>
            <w:sz w:val="18"/>
            <w:szCs w:val="18"/>
            <w:lang w:eastAsia="en-US" w:bidi="ar-SA"/>
          </w:rPr>
          <w:t>(CATMAT/CATSER)</w:t>
        </w:r>
        <w:r>
          <w:rPr>
            <w:rStyle w:val="Style8"/>
            <w:rFonts w:ascii="Verdana" w:hAnsi="Verdana"/>
            <w:color w:val="0000ED"/>
            <w:spacing w:val="1"/>
            <w:w w:val="105"/>
            <w:kern w:val="0"/>
            <w:sz w:val="18"/>
            <w:szCs w:val="18"/>
            <w:lang w:eastAsia="en-US" w:bidi="ar-SA"/>
          </w:rPr>
          <w:t xml:space="preserve"> </w:t>
        </w:r>
      </w:hyperlink>
      <w:r>
        <w:rPr>
          <w:rFonts w:ascii="Verdana" w:hAnsi="Verdana"/>
          <w:color w:val="FF0000"/>
          <w:spacing w:val="-1"/>
          <w:w w:val="105"/>
          <w:kern w:val="0"/>
          <w:sz w:val="18"/>
          <w:szCs w:val="18"/>
          <w:lang w:eastAsia="en-US" w:bidi="ar-SA"/>
        </w:rPr>
        <w:t>do</w:t>
      </w:r>
      <w:r>
        <w:rPr>
          <w:rFonts w:ascii="Verdana" w:hAnsi="Verdana"/>
          <w:color w:val="FF0000"/>
          <w:spacing w:val="-3"/>
          <w:w w:val="105"/>
          <w:kern w:val="0"/>
          <w:sz w:val="18"/>
          <w:szCs w:val="18"/>
          <w:lang w:eastAsia="en-US" w:bidi="ar-SA"/>
        </w:rPr>
        <w:t xml:space="preserve"> </w:t>
      </w:r>
      <w:r>
        <w:rPr>
          <w:rFonts w:ascii="Verdana" w:hAnsi="Verdana"/>
          <w:color w:val="FF0000"/>
          <w:spacing w:val="-1"/>
          <w:w w:val="105"/>
          <w:kern w:val="0"/>
          <w:sz w:val="18"/>
          <w:szCs w:val="18"/>
          <w:lang w:eastAsia="en-US" w:bidi="ar-SA"/>
        </w:rPr>
        <w:t>SIASG</w:t>
      </w:r>
      <w:r>
        <w:rPr>
          <w:rFonts w:ascii="Verdana" w:hAnsi="Verdana"/>
          <w:color w:val="FF0000"/>
          <w:spacing w:val="23"/>
          <w:w w:val="105"/>
          <w:kern w:val="0"/>
          <w:sz w:val="18"/>
          <w:szCs w:val="18"/>
          <w:lang w:eastAsia="en-US" w:bidi="ar-SA"/>
        </w:rPr>
        <w:t xml:space="preserve"> </w:t>
      </w:r>
      <w:r>
        <w:rPr>
          <w:rFonts w:ascii="Verdana" w:hAnsi="Verdana"/>
          <w:color w:val="FF0000"/>
          <w:spacing w:val="-1"/>
          <w:w w:val="105"/>
          <w:kern w:val="0"/>
          <w:sz w:val="18"/>
          <w:szCs w:val="18"/>
          <w:lang w:eastAsia="en-US" w:bidi="ar-SA"/>
        </w:rPr>
        <w:t>pode</w:t>
      </w:r>
      <w:r>
        <w:rPr>
          <w:rFonts w:ascii="Verdana" w:hAnsi="Verdana"/>
          <w:color w:val="FF0000"/>
          <w:spacing w:val="-9"/>
          <w:w w:val="105"/>
          <w:kern w:val="0"/>
          <w:sz w:val="18"/>
          <w:szCs w:val="18"/>
          <w:lang w:eastAsia="en-US" w:bidi="ar-SA"/>
        </w:rPr>
        <w:t xml:space="preserve"> </w:t>
      </w:r>
      <w:r>
        <w:rPr>
          <w:rFonts w:ascii="Verdana" w:hAnsi="Verdana"/>
          <w:color w:val="FF0000"/>
          <w:spacing w:val="-1"/>
          <w:w w:val="105"/>
          <w:kern w:val="0"/>
          <w:sz w:val="18"/>
          <w:szCs w:val="18"/>
          <w:lang w:eastAsia="en-US" w:bidi="ar-SA"/>
        </w:rPr>
        <w:t>ser</w:t>
      </w:r>
      <w:r>
        <w:rPr>
          <w:rFonts w:ascii="Verdana" w:hAnsi="Verdana"/>
          <w:color w:val="FF0000"/>
          <w:spacing w:val="-6"/>
          <w:w w:val="105"/>
          <w:kern w:val="0"/>
          <w:sz w:val="18"/>
          <w:szCs w:val="18"/>
          <w:lang w:eastAsia="en-US" w:bidi="ar-SA"/>
        </w:rPr>
        <w:t xml:space="preserve"> </w:t>
      </w:r>
      <w:r>
        <w:rPr>
          <w:rFonts w:ascii="Verdana" w:hAnsi="Verdana"/>
          <w:color w:val="FF0000"/>
          <w:spacing w:val="-1"/>
          <w:w w:val="105"/>
          <w:kern w:val="0"/>
          <w:sz w:val="18"/>
          <w:szCs w:val="18"/>
          <w:lang w:eastAsia="en-US" w:bidi="ar-SA"/>
        </w:rPr>
        <w:t>consultado</w:t>
      </w:r>
      <w:r>
        <w:rPr>
          <w:rFonts w:ascii="Verdana" w:hAnsi="Verdana"/>
          <w:color w:val="FF0000"/>
          <w:spacing w:val="-3"/>
          <w:w w:val="105"/>
          <w:kern w:val="0"/>
          <w:sz w:val="18"/>
          <w:szCs w:val="18"/>
          <w:lang w:eastAsia="en-US" w:bidi="ar-SA"/>
        </w:rPr>
        <w:t xml:space="preserve"> </w:t>
      </w:r>
      <w:r>
        <w:rPr>
          <w:rFonts w:ascii="Verdana" w:hAnsi="Verdana"/>
          <w:color w:val="FF0000"/>
          <w:spacing w:val="-1"/>
          <w:w w:val="105"/>
          <w:kern w:val="0"/>
          <w:sz w:val="18"/>
          <w:szCs w:val="18"/>
          <w:lang w:eastAsia="en-US" w:bidi="ar-SA"/>
        </w:rPr>
        <w:t>em</w:t>
      </w:r>
      <w:r>
        <w:rPr>
          <w:rFonts w:ascii="Verdana" w:hAnsi="Verdana"/>
          <w:color w:val="FF0000"/>
          <w:spacing w:val="-4"/>
          <w:w w:val="105"/>
          <w:kern w:val="0"/>
          <w:sz w:val="18"/>
          <w:szCs w:val="18"/>
          <w:lang w:eastAsia="en-US" w:bidi="ar-SA"/>
        </w:rPr>
        <w:t xml:space="preserve"> </w:t>
      </w:r>
      <w:r>
        <w:rPr>
          <w:rFonts w:ascii="Verdana" w:hAnsi="Verdana"/>
          <w:color w:val="FF0000"/>
          <w:spacing w:val="-1"/>
          <w:w w:val="105"/>
          <w:kern w:val="0"/>
          <w:sz w:val="18"/>
          <w:szCs w:val="18"/>
          <w:lang w:eastAsia="en-US" w:bidi="ar-SA"/>
        </w:rPr>
        <w:t>(https://catalogo.compras.gov.br/cnbs-web/busca).</w:t>
      </w:r>
    </w:p>
    <w:p>
      <w:pPr>
        <w:pStyle w:val="PADRO"/>
        <w:widowControl/>
        <w:shd w:val="clear" w:color="auto" w:fill="auto"/>
        <w:tabs>
          <w:tab w:val="clear" w:pos="708"/>
          <w:tab w:val="left" w:pos="284" w:leader="none"/>
          <w:tab w:val="left" w:pos="426" w:leader="none"/>
        </w:tabs>
        <w:spacing w:before="0" w:after="0"/>
        <w:ind w:hanging="0" w:start="0"/>
        <w:rPr>
          <w:rFonts w:ascii="Verdana" w:hAnsi="Verdana" w:cs="Arial"/>
          <w:sz w:val="20"/>
          <w:szCs w:val="20"/>
        </w:rPr>
      </w:pPr>
      <w:r>
        <w:rPr>
          <w:rFonts w:cs="Arial" w:ascii="Verdana" w:hAnsi="Verdana"/>
          <w:sz w:val="20"/>
          <w:szCs w:val="20"/>
        </w:rPr>
      </w:r>
    </w:p>
    <w:p>
      <w:pPr>
        <w:pStyle w:val="PADRO"/>
        <w:keepNext w:val="false"/>
        <w:widowControl/>
        <w:numPr>
          <w:ilvl w:val="1"/>
          <w:numId w:val="1"/>
        </w:numPr>
        <w:shd w:val="clear" w:color="auto" w:fill="auto"/>
        <w:spacing w:before="120" w:after="120"/>
        <w:ind w:hanging="0" w:start="0"/>
        <w:rPr>
          <w:rFonts w:ascii="Verdana" w:hAnsi="Verdana" w:cs="Arial"/>
          <w:szCs w:val="20"/>
        </w:rPr>
      </w:pP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global</w:t>
      </w:r>
      <w:r>
        <w:rPr>
          <w:rFonts w:cs="Arial" w:ascii="Verdana" w:hAnsi="Verdana"/>
          <w:b/>
          <w:bCs/>
          <w:i/>
          <w:iCs/>
          <w:szCs w:val="20"/>
        </w:rPr>
        <w:t>,</w:t>
      </w:r>
      <w:r>
        <w:rPr>
          <w:rFonts w:cs="Arial" w:ascii="Verdana" w:hAnsi="Verdana"/>
          <w:szCs w:val="20"/>
        </w:rPr>
        <w:t xml:space="preserve"> observadas as exigências contidas neste Aviso de Contratação Direta e seus Anexos.</w:t>
      </w:r>
    </w:p>
    <w:p>
      <w:pPr>
        <w:pStyle w:val="PADRO"/>
        <w:keepNext w:val="false"/>
        <w:widowControl/>
        <w:shd w:val="clear" w:color="auto" w:fill="auto"/>
        <w:spacing w:before="0" w:after="0"/>
        <w:ind w:hanging="0"/>
        <w:contextualSpacing/>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before="120" w:after="120"/>
        <w:ind w:hanging="0" w:start="0"/>
        <w:jc w:val="both"/>
        <w:rPr>
          <w:rFonts w:ascii="Verdana" w:hAnsi="Verdana" w:cs="Arial"/>
          <w:szCs w:val="20"/>
        </w:rPr>
      </w:pPr>
      <w:r>
        <w:rPr>
          <w:rFonts w:eastAsia="Calibri" w:cs="Arial" w:ascii="Verdana" w:hAnsi="Verdana" w:eastAsiaTheme="minorHAnsi"/>
          <w:szCs w:val="20"/>
          <w:lang w:eastAsia="en-US"/>
        </w:rPr>
        <w:t>A participação na presente dispensa eletrônica se dará mediante Sistema de Dispensa Eletrônica integrante do Sistema de Compras do Governo, disponível no endereço eletrônico www.gov.br/compras.</w:t>
      </w:r>
    </w:p>
    <w:p>
      <w:pPr>
        <w:pStyle w:val="Normal"/>
        <w:numPr>
          <w:ilvl w:val="2"/>
          <w:numId w:val="1"/>
        </w:numPr>
        <w:snapToGrid w:val="false"/>
        <w:spacing w:lineRule="auto" w:line="276" w:before="120" w:after="120"/>
        <w:ind w:hanging="0" w:start="567"/>
        <w:jc w:val="both"/>
        <w:rPr>
          <w:rFonts w:ascii="Verdana" w:hAnsi="Verdana" w:cs="Arial"/>
          <w:szCs w:val="20"/>
        </w:rPr>
      </w:pPr>
      <w:r>
        <w:rPr>
          <w:rFonts w:cs="Arial" w:ascii="Verdana" w:hAnsi="Verdana"/>
          <w:szCs w:val="20"/>
        </w:rPr>
        <w:t xml:space="preserve">Os fornecedores deverão atender aos procedimentos previstos no Manual do Sistema de Dispensa Eletrônica, disponível no Portal de Compras do Governo Federal, para acesso ao sistema e operacionalização; </w:t>
      </w:r>
    </w:p>
    <w:p>
      <w:pPr>
        <w:pStyle w:val="Normal"/>
        <w:numPr>
          <w:ilvl w:val="2"/>
          <w:numId w:val="1"/>
        </w:numPr>
        <w:snapToGrid w:val="false"/>
        <w:spacing w:lineRule="auto" w:line="276" w:before="120" w:after="120"/>
        <w:ind w:hanging="0" w:star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snapToGrid w:val="false"/>
        <w:spacing w:lineRule="auto" w:line="276" w:before="120" w:after="120"/>
        <w:ind w:hanging="0" w:start="567"/>
        <w:jc w:val="both"/>
        <w:rPr>
          <w:rFonts w:ascii="Verdana" w:hAnsi="Verdana" w:cs="Arial"/>
          <w:szCs w:val="20"/>
        </w:rPr>
      </w:pPr>
      <w:r>
        <w:rPr>
          <w:rFonts w:cs="Arial" w:ascii="Verdana" w:hAnsi="Verdana"/>
          <w:szCs w:val="20"/>
        </w:rPr>
      </w:r>
    </w:p>
    <w:p>
      <w:pPr>
        <w:pStyle w:val="Normal"/>
        <w:numPr>
          <w:ilvl w:val="1"/>
          <w:numId w:val="1"/>
        </w:numPr>
        <w:spacing w:lineRule="auto" w:line="276" w:before="120" w:after="120"/>
        <w:ind w:hanging="0" w:star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firstLine="21" w:star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hanging="0" w:star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hanging="0" w:star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firstLine="630" w:star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4">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hanging="0" w:star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0"/>
        <w:ind w:hanging="0" w:star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hanging="0" w:start="574"/>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before="120" w:after="120"/>
        <w:ind w:hanging="0" w:star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hanging="0" w:star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e o preço, até a data e o horário estabelecidos para abertura do procedimento.</w:t>
      </w:r>
    </w:p>
    <w:p>
      <w:pPr>
        <w:pStyle w:val="Normal"/>
        <w:tabs>
          <w:tab w:val="clear" w:pos="708"/>
          <w:tab w:val="left" w:pos="567" w:leader="none"/>
        </w:tabs>
        <w:snapToGrid w:val="false"/>
        <w:spacing w:lineRule="auto" w:line="276" w:before="120" w:after="120"/>
        <w:ind w:hanging="0" w:star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hanging="0" w:star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hanging="0" w:star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tabs>
          <w:tab w:val="clear" w:pos="708"/>
          <w:tab w:val="left" w:pos="1560" w:leader="none"/>
        </w:tabs>
        <w:spacing w:lineRule="auto" w:line="276" w:before="120" w:after="120"/>
        <w:ind w:hanging="0" w:start="851"/>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R$ 1,00 (um real).</w:t>
      </w:r>
    </w:p>
    <w:p>
      <w:pPr>
        <w:pStyle w:val="ListParagraph"/>
        <w:numPr>
          <w:ilvl w:val="1"/>
          <w:numId w:val="1"/>
        </w:numPr>
        <w:tabs>
          <w:tab w:val="clear" w:pos="708"/>
          <w:tab w:val="left" w:pos="532"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before="120" w:after="120"/>
        <w:ind w:hanging="0" w:start="0"/>
        <w:contextualSpacing/>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hanging="0" w:start="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hanging="0" w:start="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hanging="0" w:start="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tabs>
          <w:tab w:val="clear" w:pos="708"/>
          <w:tab w:val="left" w:pos="518" w:leader="none"/>
        </w:tabs>
        <w:spacing w:lineRule="auto" w:line="276" w:before="120" w:after="120"/>
        <w:ind w:hanging="0" w:start="0"/>
        <w:contextualSpacing/>
        <w:jc w:val="both"/>
        <w:rPr>
          <w:rFonts w:ascii="Verdana" w:hAnsi="Verdana" w:cs="Arial"/>
          <w:szCs w:val="20"/>
        </w:rPr>
      </w:pPr>
      <w:r>
        <w:rPr>
          <w:rFonts w:cs="Arial" w:ascii="Verdana" w:hAnsi="Verdana"/>
          <w:szCs w:val="20"/>
        </w:rPr>
      </w:r>
    </w:p>
    <w:p>
      <w:pPr>
        <w:pStyle w:val="ListParagraph"/>
        <w:numPr>
          <w:ilvl w:val="1"/>
          <w:numId w:val="1"/>
        </w:numPr>
        <w:tabs>
          <w:tab w:val="clear" w:pos="708"/>
          <w:tab w:val="left" w:pos="518" w:leader="none"/>
        </w:tabs>
        <w:spacing w:lineRule="auto" w:line="276" w:before="120" w:after="120"/>
        <w:ind w:hanging="0" w:start="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apresentar desconformidade com quaisquer outras exigências deste aviso ou seus anexos, desde que insanável.</w:t>
      </w:r>
    </w:p>
    <w:p>
      <w:pPr>
        <w:pStyle w:val="ListParagraph"/>
        <w:spacing w:lineRule="auto" w:line="276" w:before="120" w:after="120"/>
        <w:ind w:hanging="0" w:start="1224"/>
        <w:contextualSpacing/>
        <w:jc w:val="both"/>
        <w:rPr>
          <w:rFonts w:ascii="Verdana" w:hAnsi="Verdana" w:cs="Arial"/>
          <w:i/>
          <w:szCs w:val="20"/>
        </w:rPr>
      </w:pPr>
      <w:r>
        <w:rPr>
          <w:rFonts w:cs="Arial" w:ascii="Verdana" w:hAnsi="Verdana"/>
          <w:i/>
          <w:szCs w:val="20"/>
        </w:rPr>
      </w:r>
    </w:p>
    <w:p>
      <w:pPr>
        <w:pStyle w:val="ListParagraph"/>
        <w:numPr>
          <w:ilvl w:val="1"/>
          <w:numId w:val="1"/>
        </w:numPr>
        <w:tabs>
          <w:tab w:val="clear" w:pos="708"/>
          <w:tab w:val="left" w:pos="532" w:leader="none"/>
        </w:tabs>
        <w:spacing w:lineRule="auto" w:line="276" w:before="120" w:after="120"/>
        <w:ind w:hanging="0" w:start="0"/>
        <w:contextualSpacing/>
        <w:jc w:val="both"/>
        <w:rPr>
          <w:rFonts w:ascii="Verdana" w:hAnsi="Verdana" w:cs="Arial"/>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hanging="0" w:start="1224"/>
        <w:contextualSpacing/>
        <w:jc w:val="both"/>
        <w:rPr>
          <w:rFonts w:ascii="Verdana" w:hAnsi="Verdana" w:cs="Arial"/>
          <w:i/>
          <w:szCs w:val="20"/>
        </w:rPr>
      </w:pPr>
      <w:r>
        <w:rPr>
          <w:rFonts w:cs="Arial" w:ascii="Verdana" w:hAnsi="Verdana"/>
          <w:i/>
          <w:szCs w:val="20"/>
        </w:rPr>
      </w:r>
    </w:p>
    <w:p>
      <w:pPr>
        <w:pStyle w:val="ListParagraph"/>
        <w:numPr>
          <w:ilvl w:val="1"/>
          <w:numId w:val="1"/>
        </w:numPr>
        <w:tabs>
          <w:tab w:val="clear" w:pos="708"/>
          <w:tab w:val="left" w:pos="560" w:leader="none"/>
        </w:tabs>
        <w:spacing w:lineRule="auto" w:line="276" w:before="120" w:after="120"/>
        <w:ind w:hanging="0" w:start="0" w:end="-15"/>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hanging="0" w:start="0" w:end="-15"/>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hanging="0" w:start="0"/>
        <w:contextualSpacing/>
        <w:jc w:val="both"/>
        <w:rPr>
          <w:rFonts w:ascii="Verdana" w:hAnsi="Verdana" w:cs="Arial"/>
          <w:szCs w:val="20"/>
          <w:lang w:eastAsia="en-US"/>
        </w:rPr>
      </w:pPr>
      <w:r>
        <w:rPr>
          <w:rFonts w:cs="Arial" w:ascii="Verdana" w:hAnsi="Verdana"/>
          <w:b/>
          <w:bCs/>
          <w:szCs w:val="20"/>
          <w:u w:val="single"/>
          <w:shd w:fill="FFFF00" w:val="clear"/>
          <w:lang w:eastAsia="en-US"/>
        </w:rPr>
        <w:t>Em caso de haver divergência entre o item selecionado no catálogo do Compras.gov.br e as especificações contidas no Aviso de Dispensa prevalecem as especificações do Aviso de Dispensa, inclusive para fins de desclassificação.</w:t>
      </w:r>
    </w:p>
    <w:p>
      <w:pPr>
        <w:pStyle w:val="ListParagraph"/>
        <w:numPr>
          <w:ilvl w:val="1"/>
          <w:numId w:val="1"/>
        </w:numPr>
        <w:tabs>
          <w:tab w:val="clear" w:pos="708"/>
          <w:tab w:val="left" w:pos="546"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hanging="0" w:start="0"/>
        <w:contextualSpacing/>
        <w:jc w:val="both"/>
        <w:rPr>
          <w:rFonts w:ascii="Verdana" w:hAnsi="Verdana" w:cs="Arial"/>
          <w:szCs w:val="20"/>
          <w:lang w:eastAsia="en-US"/>
        </w:rPr>
      </w:pPr>
      <w:r>
        <w:rPr>
          <w:rFonts w:cs="Arial" w:ascii="Verdana" w:hAnsi="Verdana"/>
          <w:szCs w:val="20"/>
          <w:lang w:eastAsia="en-US"/>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before="120" w:after="120"/>
        <w:ind w:hanging="574" w:start="567"/>
        <w:contextualSpacing/>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hanging="574" w:start="567"/>
        <w:contextualSpacing/>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hanging="0" w:start="1134"/>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hanging="0" w:start="1134"/>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5">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hanging="0" w:start="1134"/>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6">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hanging="0" w:start="1134"/>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hanging="574" w:start="567"/>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hanging="574" w:start="567"/>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hanging="574" w:start="567"/>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hanging="574" w:start="567"/>
        <w:contextualSpacing/>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hanging="574" w:start="567"/>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hanging="574" w:start="567"/>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hanging="574" w:start="567"/>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before="120" w:after="120"/>
        <w:ind w:hanging="0" w:star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120" w:after="120"/>
        <w:ind w:hanging="0" w:star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hanging="0" w:star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hanging="0" w:star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hanging="0" w:star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120" w:after="120"/>
        <w:ind w:hanging="0" w:star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tabs>
          <w:tab w:val="clear" w:pos="708"/>
          <w:tab w:val="left" w:pos="1560" w:leader="none"/>
        </w:tabs>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comportar-se de modo inidôneo ou cometer fraude de qualquer natureza;</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1680" w:leader="none"/>
        </w:tabs>
        <w:spacing w:lineRule="auto" w:line="276" w:before="120" w:after="120"/>
        <w:ind w:hanging="425" w:start="1134"/>
        <w:jc w:val="both"/>
        <w:rPr>
          <w:rFonts w:ascii="Verdana" w:hAnsi="Verdana" w:cs="Arial"/>
          <w:szCs w:val="20"/>
        </w:rPr>
      </w:pPr>
      <w:r>
        <w:rPr>
          <w:rFonts w:cs="Arial" w:ascii="Verdana" w:hAnsi="Verdana"/>
          <w:szCs w:val="20"/>
        </w:rPr>
        <w:t>praticar atos ilícitos com vistas a frustrar os objetivos deste certame.</w:t>
      </w:r>
    </w:p>
    <w:p>
      <w:pPr>
        <w:pStyle w:val="Normal"/>
        <w:numPr>
          <w:ilvl w:val="2"/>
          <w:numId w:val="1"/>
        </w:numPr>
        <w:spacing w:lineRule="auto" w:line="276" w:before="120" w:after="120"/>
        <w:ind w:hanging="406" w:start="1134"/>
        <w:jc w:val="both"/>
        <w:rPr>
          <w:rFonts w:ascii="Verdana" w:hAnsi="Verdana"/>
          <w:szCs w:val="20"/>
        </w:rPr>
      </w:pPr>
      <w:r>
        <w:rPr>
          <w:rFonts w:cs="Arial" w:ascii="Verdana" w:hAnsi="Verdana"/>
          <w:szCs w:val="20"/>
        </w:rPr>
        <w:t>praticar ato lesivo previsto no </w:t>
      </w:r>
      <w:r>
        <w:fldChar w:fldCharType="begin"/>
      </w:r>
      <w:r>
        <w:rPr>
          <w:rStyle w:val="Style8"/>
          <w:rFonts w:ascii="Verdana" w:hAnsi="Verdana"/>
          <w:szCs w:val="20"/>
        </w:rPr>
        <w:instrText xml:space="preserve"> HYPERLINK "http://www.planalto.gov.br/ccivil_03/_Ato2011-2014/2013/Lei/L12846.htm" \l "art5"</w:instrText>
      </w:r>
      <w:r>
        <w:rPr>
          <w:rStyle w:val="Style8"/>
          <w:rFonts w:ascii="Verdana" w:hAnsi="Verdana"/>
          <w:szCs w:val="20"/>
        </w:rPr>
        <w:fldChar w:fldCharType="separate"/>
      </w:r>
      <w:r>
        <w:rPr>
          <w:rStyle w:val="Style8"/>
          <w:rFonts w:ascii="Verdana" w:hAnsi="Verdana"/>
          <w:szCs w:val="20"/>
        </w:rPr>
        <w:t>art. 5º da Lei nº 12.846, de 1º de agosto de 2013.</w:t>
      </w:r>
      <w:r>
        <w:rPr>
          <w:rStyle w:val="Style8"/>
          <w:rFonts w:ascii="Verdana" w:hAnsi="Verdana"/>
          <w:szCs w:val="20"/>
        </w:rPr>
        <w:fldChar w:fldCharType="end"/>
      </w:r>
    </w:p>
    <w:p>
      <w:pPr>
        <w:pStyle w:val="Normal"/>
        <w:numPr>
          <w:ilvl w:val="1"/>
          <w:numId w:val="1"/>
        </w:numPr>
        <w:tabs>
          <w:tab w:val="clear" w:pos="708"/>
          <w:tab w:val="left" w:pos="574" w:leader="none"/>
        </w:tabs>
        <w:spacing w:lineRule="auto" w:line="276" w:before="120" w:after="120"/>
        <w:ind w:hanging="0" w:star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bookmarkStart w:id="2" w:name="art156%252525252525252525C2%252525252525"/>
      <w:bookmarkStart w:id="3" w:name="art156%252525252525252525C2%252525252521"/>
      <w:bookmarkStart w:id="4" w:name="art156%252525252525252525C2%252525252522"/>
      <w:bookmarkEnd w:id="2"/>
      <w:bookmarkEnd w:id="3"/>
      <w:bookmarkEnd w:id="4"/>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25252525252525C2%252525252523"/>
      <w:bookmarkEnd w:id="5"/>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hanging="0" w:star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before="120" w:after="120"/>
        <w:ind w:hanging="0" w:star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hanging="0" w:star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pPr>
        <w:pStyle w:val="Normal"/>
        <w:tabs>
          <w:tab w:val="clear" w:pos="708"/>
          <w:tab w:val="left" w:pos="518" w:leader="none"/>
        </w:tabs>
        <w:spacing w:lineRule="auto" w:line="276" w:before="120" w:after="120"/>
        <w:ind w:hanging="0" w:star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hanging="0" w:star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hanging="0" w:star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star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hanging="0" w:start="360"/>
        <w:jc w:val="both"/>
        <w:rPr>
          <w:rFonts w:ascii="Verdana" w:hAnsi="Verdana" w:cs="Arial"/>
          <w:szCs w:val="20"/>
        </w:rPr>
      </w:pPr>
      <w:r>
        <w:rPr>
          <w:rFonts w:cs="Arial" w:ascii="Verdana" w:hAnsi="Verdana"/>
          <w:b/>
          <w:bCs/>
          <w:szCs w:val="20"/>
        </w:rPr>
        <w:tab/>
        <w:t xml:space="preserve">9.15.2.1 ANEXO II-1 – </w:t>
      </w:r>
      <w:r>
        <w:rPr>
          <w:rFonts w:cs="Arial" w:ascii="Verdana" w:hAnsi="Verdana"/>
          <w:b w:val="false"/>
          <w:bCs w:val="false"/>
          <w:szCs w:val="20"/>
        </w:rPr>
        <w:t>Minuta de Contrato;</w:t>
      </w:r>
    </w:p>
    <w:p>
      <w:pPr>
        <w:pStyle w:val="ListParagraph"/>
        <w:tabs>
          <w:tab w:val="clear" w:pos="708"/>
          <w:tab w:val="left" w:pos="1560" w:leader="none"/>
        </w:tabs>
        <w:spacing w:lineRule="auto" w:line="276"/>
        <w:ind w:hanging="0" w:start="360"/>
        <w:jc w:val="both"/>
        <w:rPr>
          <w:rFonts w:ascii="Verdana" w:hAnsi="Verdana" w:cs="Arial"/>
          <w:szCs w:val="20"/>
        </w:rPr>
      </w:pPr>
      <w:r>
        <w:rPr>
          <w:rFonts w:cs="Arial" w:ascii="Verdana" w:hAnsi="Verdana"/>
          <w:b/>
          <w:bCs/>
          <w:szCs w:val="20"/>
        </w:rPr>
        <w:tab/>
        <w:t>9.15.2.2</w:t>
      </w:r>
      <w:r>
        <w:rPr>
          <w:rFonts w:cs="Arial" w:ascii="Verdana" w:hAnsi="Verdana"/>
          <w:szCs w:val="20"/>
        </w:rPr>
        <w:t xml:space="preserve"> </w:t>
      </w:r>
      <w:r>
        <w:rPr>
          <w:rFonts w:cs="Arial" w:ascii="Verdana" w:hAnsi="Verdana"/>
          <w:b/>
          <w:bCs/>
          <w:szCs w:val="20"/>
        </w:rPr>
        <w:t xml:space="preserve">ANEXO II-2 – </w:t>
      </w:r>
      <w:r>
        <w:rPr>
          <w:rFonts w:cs="Arial" w:ascii="Verdana" w:hAnsi="Verdana"/>
          <w:szCs w:val="20"/>
        </w:rPr>
        <w:t>Modelo de Proposta.</w:t>
      </w:r>
    </w:p>
    <w:p>
      <w:pPr>
        <w:pStyle w:val="Normal"/>
        <w:tabs>
          <w:tab w:val="clear" w:pos="708"/>
          <w:tab w:val="left" w:pos="1560" w:leader="none"/>
        </w:tabs>
        <w:spacing w:lineRule="auto" w:line="276"/>
        <w:ind w:hanging="0" w:start="1224"/>
        <w:jc w:val="both"/>
        <w:rPr>
          <w:rFonts w:ascii="Verdana" w:hAnsi="Verdana" w:cs="Arial"/>
          <w:szCs w:val="20"/>
        </w:rPr>
      </w:pPr>
      <w:r>
        <w:rPr>
          <w:rFonts w:cs="Arial" w:ascii="Verdana" w:hAnsi="Verdana"/>
          <w:szCs w:val="20"/>
        </w:rPr>
      </w:r>
    </w:p>
    <w:p>
      <w:pPr>
        <w:pStyle w:val="Normal"/>
        <w:spacing w:lineRule="auto" w:line="276" w:before="0" w:after="120"/>
        <w:ind w:hanging="0" w:start="360" w:end="-15"/>
        <w:jc w:val="center"/>
        <w:rPr>
          <w:rFonts w:ascii="Verdana" w:hAnsi="Verdana" w:cs="Arial"/>
          <w:szCs w:val="20"/>
        </w:rPr>
      </w:pPr>
      <w:r>
        <w:rPr>
          <w:rFonts w:cs="Arial" w:ascii="Verdana" w:hAnsi="Verdana"/>
          <w:szCs w:val="20"/>
        </w:rPr>
        <w:t>São Gabriel da Palha - ES, 02 de abril de 2026.</w:t>
      </w:r>
    </w:p>
    <w:p>
      <w:pPr>
        <w:pStyle w:val="Normal"/>
        <w:spacing w:lineRule="auto" w:line="276"/>
        <w:jc w:val="center"/>
        <w:rPr>
          <w:rFonts w:ascii="Verdana" w:hAnsi="Verdana" w:cs="Arial"/>
          <w:b/>
          <w:bCs/>
          <w:iCs/>
          <w:szCs w:val="20"/>
        </w:rPr>
      </w:pPr>
      <w:r>
        <w:rPr>
          <w:rFonts w:cs="Arial" w:ascii="Verdana" w:hAnsi="Verdana"/>
          <w:b/>
          <w:bCs/>
          <w:iCs/>
          <w:szCs w:val="20"/>
        </w:rPr>
      </w:r>
    </w:p>
    <w:p>
      <w:pPr>
        <w:pStyle w:val="Normal"/>
        <w:spacing w:lineRule="auto" w:line="276"/>
        <w:jc w:val="center"/>
        <w:rPr>
          <w:rFonts w:ascii="Verdana" w:hAnsi="Verdana" w:cs="Arial"/>
          <w:b/>
          <w:bCs/>
          <w:iCs/>
          <w:szCs w:val="20"/>
        </w:rPr>
      </w:pPr>
      <w:r>
        <w:rPr>
          <w:rFonts w:cs="Arial" w:ascii="Verdana" w:hAnsi="Verdana"/>
          <w:b/>
          <w:bCs/>
          <w:iCs/>
          <w:szCs w:val="20"/>
        </w:rPr>
      </w:r>
    </w:p>
    <w:p>
      <w:pPr>
        <w:pStyle w:val="Normal"/>
        <w:spacing w:lineRule="auto" w:line="276"/>
        <w:jc w:val="center"/>
        <w:rPr>
          <w:rFonts w:ascii="Verdana" w:hAnsi="Verdana" w:cs="Arial"/>
          <w:b/>
          <w:bCs/>
          <w:iCs/>
          <w:szCs w:val="20"/>
        </w:rPr>
      </w:pPr>
      <w:r>
        <w:rPr>
          <w:rFonts w:cs="Arial" w:ascii="Verdana" w:hAnsi="Verdana"/>
          <w:b/>
          <w:bCs/>
          <w:iCs/>
          <w:szCs w:val="20"/>
        </w:rPr>
      </w:r>
    </w:p>
    <w:p>
      <w:pPr>
        <w:pStyle w:val="Normal"/>
        <w:spacing w:lineRule="auto" w:line="276"/>
        <w:jc w:val="center"/>
        <w:rPr>
          <w:rFonts w:ascii="Verdana" w:hAnsi="Verdana" w:cs="Arial"/>
          <w:b/>
          <w:bCs/>
          <w:iCs/>
          <w:szCs w:val="20"/>
        </w:rPr>
      </w:pPr>
      <w:r>
        <w:rPr>
          <w:rFonts w:cs="Arial" w:ascii="Verdana" w:hAnsi="Verdana"/>
          <w:b/>
          <w:bCs/>
          <w:iCs/>
          <w:szCs w:val="20"/>
        </w:rPr>
        <w:t>GUILHERME LOPES CAMPOS</w:t>
      </w:r>
    </w:p>
    <w:p>
      <w:pPr>
        <w:pStyle w:val="Normal"/>
        <w:spacing w:lineRule="auto" w:line="276"/>
        <w:jc w:val="center"/>
        <w:rPr>
          <w:rFonts w:ascii="Verdana" w:hAnsi="Verdana" w:cs="Arial"/>
          <w:szCs w:val="20"/>
        </w:rPr>
      </w:pPr>
      <w:r>
        <w:rPr>
          <w:rFonts w:cs="Arial" w:ascii="Verdana" w:hAnsi="Verdana"/>
          <w:b/>
          <w:bCs/>
          <w:iCs/>
          <w:szCs w:val="20"/>
        </w:rPr>
        <w:t>Agente de Contratação</w:t>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szCs w:val="20"/>
        </w:rPr>
      </w:pPr>
      <w:r>
        <w:rPr>
          <w:rFonts w:cs="Arial" w:ascii="Verdana" w:hAnsi="Verdana"/>
          <w:szCs w:val="20"/>
        </w:rPr>
      </w:r>
    </w:p>
    <w:p>
      <w:pPr>
        <w:pStyle w:val="Textbody"/>
        <w:spacing w:lineRule="auto" w:line="276" w:before="0" w:after="240"/>
        <w:jc w:val="center"/>
        <w:rPr>
          <w:rFonts w:ascii="Verdana" w:hAnsi="Verdana"/>
          <w:sz w:val="20"/>
          <w:szCs w:val="20"/>
        </w:rPr>
      </w:pPr>
      <w:r>
        <w:rPr/>
      </w:r>
    </w:p>
    <w:sectPr>
      <w:headerReference w:type="even" r:id="rId7"/>
      <w:headerReference w:type="default" r:id="rId8"/>
      <w:headerReference w:type="first" r:id="rId9"/>
      <w:type w:val="nextPage"/>
      <w:pgSz w:w="11906" w:h="16838"/>
      <w:pgMar w:left="1134" w:right="849" w:gutter="0" w:header="567" w:top="1418" w:footer="0" w:bottom="709"/>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libri Light">
    <w:charset w:val="00" w:characterSet="windows-1252"/>
    <w:family w:val="roman"/>
    <w:pitch w:val="variable"/>
  </w:font>
  <w:font w:name="Ecofont_Spranq_eco_Sans">
    <w:charset w:val="00" w:characterSet="windows-1252"/>
    <w:family w:val="roman"/>
    <w:pitch w:val="variable"/>
  </w:font>
  <w:font w:name="Segoe UI">
    <w:charset w:val="00" w:characterSet="windows-1252"/>
    <w:family w:val="roman"/>
    <w:pitch w:val="variable"/>
  </w:font>
  <w:font w:name="Symbol">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Liberation Sans">
    <w:altName w:val="Arial"/>
    <w:charset w:val="00" w:characterSet="windows-1252"/>
    <w:family w:val="swiss"/>
    <w:pitch w:val="variable"/>
  </w:font>
  <w:font w:name="Verdana">
    <w:charset w:val="00" w:characterSet="windows-1252"/>
    <w:family w:val="roman"/>
    <w:pitch w:val="variable"/>
  </w:font>
  <w:font w:name="Arial Narrow">
    <w:charset w:val="00" w:characterSet="windows-1252"/>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0,1894" stroked="f" o:allowincell="f" style="position:absolute;margin-left:0.05pt;margin-top:0pt;width:54.05pt;height:53.6pt;mso-wrap-style:none;v-text-anchor:middle;mso-position-horizontal:center;mso-position-horizontal-relative:margin;mso-position-vertical:center;mso-position-vertical-relative:margin" path="m0,8l0,8xm6,1l0,8l7,0l6,1xm0,8l0,8xm1908,1893l0,8l1909,1892l1908,1893xe">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Header"/>
      <w:jc w:val="center"/>
      <w:rPr>
        <w:sz w:val="22"/>
        <w:szCs w:val="22"/>
      </w:rPr>
    </w:pPr>
    <w:r>
      <w:rPr/>
      <w:drawing>
        <wp:inline distT="0" distB="0" distL="0" distR="0">
          <wp:extent cx="828675" cy="552450"/>
          <wp:effectExtent l="0" t="0" r="0" b="0"/>
          <wp:docPr id="1" name="Imagem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Copia 1"/>
                  <pic:cNvPicPr>
                    <a:picLocks noChangeAspect="1" noChangeArrowheads="1"/>
                  </pic:cNvPicPr>
                </pic:nvPicPr>
                <pic:blipFill>
                  <a:blip r:embed="rId1"/>
                  <a:srcRect l="-13" t="-14" r="-13" b="-14"/>
                  <a:stretch>
                    <a:fillRect/>
                  </a:stretch>
                </pic:blipFill>
                <pic:spPr bwMode="auto">
                  <a:xfrm>
                    <a:off x="0" y="0"/>
                    <a:ext cx="828675" cy="552450"/>
                  </a:xfrm>
                  <a:prstGeom prst="rect">
                    <a:avLst/>
                  </a:prstGeom>
                  <a:noFill/>
                </pic:spPr>
              </pic:pic>
            </a:graphicData>
          </a:graphic>
        </wp:inline>
      </w:drawing>
    </w:r>
  </w:p>
  <w:p>
    <w:pPr>
      <w:pStyle w:val="Header"/>
      <w:jc w:val="center"/>
      <w:rPr>
        <w:rFonts w:ascii="Calibri" w:hAnsi="Calibri"/>
        <w:b/>
      </w:rPr>
    </w:pPr>
    <w:r>
      <w:rPr>
        <w:b/>
        <w:sz w:val="22"/>
        <w:szCs w:val="22"/>
      </w:rPr>
      <w:t>INSTITUTO DE PREVIDÊNCIA DOS SERVIDORES PÚBLICOS</w:t>
    </w:r>
  </w:p>
  <w:p>
    <w:pPr>
      <w:pStyle w:val="Header"/>
      <w:jc w:val="center"/>
      <w:rPr>
        <w:rFonts w:ascii="Calibri" w:hAnsi="Calibri"/>
        <w:b/>
      </w:rPr>
    </w:pPr>
    <w:r>
      <w:rPr>
        <w:b/>
        <w:sz w:val="22"/>
        <w:szCs w:val="22"/>
      </w:rPr>
      <w:t>DO MUNICÍPIO DE SÃO GABRIEL DA PALHA</w:t>
    </w:r>
  </w:p>
  <w:p>
    <w:pPr>
      <w:pStyle w:val="Header"/>
      <w:jc w:val="center"/>
      <w:rPr>
        <w:rFonts w:ascii="Calibri" w:hAnsi="Calibri" w:eastAsia="sans-serif" w:cs="Verdana"/>
        <w:b/>
        <w:bCs/>
        <w:lang w:val="pt-BR"/>
      </w:rPr>
    </w:pPr>
    <w:r>
      <w:rPr>
        <w:rFonts w:eastAsia="sans-serif" w:cs="Verdana" w:ascii="Arial Narrow" w:hAnsi="Arial Narrow"/>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Header"/>
      <w:jc w:val="center"/>
      <w:rPr>
        <w:sz w:val="22"/>
        <w:szCs w:val="22"/>
      </w:rPr>
    </w:pPr>
    <w:r>
      <w:rPr/>
      <w:drawing>
        <wp:inline distT="0" distB="0" distL="0" distR="0">
          <wp:extent cx="828675" cy="552450"/>
          <wp:effectExtent l="0" t="0" r="0" b="0"/>
          <wp:docPr id="2" name="Imagem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pic:cNvPicPr>
                    <a:picLocks noChangeAspect="1" noChangeArrowheads="1"/>
                  </pic:cNvPicPr>
                </pic:nvPicPr>
                <pic:blipFill>
                  <a:blip r:embed="rId1"/>
                  <a:srcRect l="-13" t="-14" r="-13" b="-14"/>
                  <a:stretch>
                    <a:fillRect/>
                  </a:stretch>
                </pic:blipFill>
                <pic:spPr bwMode="auto">
                  <a:xfrm>
                    <a:off x="0" y="0"/>
                    <a:ext cx="828675" cy="552450"/>
                  </a:xfrm>
                  <a:prstGeom prst="rect">
                    <a:avLst/>
                  </a:prstGeom>
                  <a:noFill/>
                </pic:spPr>
              </pic:pic>
            </a:graphicData>
          </a:graphic>
        </wp:inline>
      </w:drawing>
    </w:r>
  </w:p>
  <w:p>
    <w:pPr>
      <w:pStyle w:val="Header"/>
      <w:jc w:val="center"/>
      <w:rPr>
        <w:rFonts w:ascii="Calibri" w:hAnsi="Calibri"/>
        <w:b/>
      </w:rPr>
    </w:pPr>
    <w:r>
      <w:rPr>
        <w:b/>
        <w:sz w:val="22"/>
        <w:szCs w:val="22"/>
      </w:rPr>
      <w:t>INSTITUTO DE PREVIDÊNCIA DOS SERVIDORES PÚBLICOS</w:t>
    </w:r>
  </w:p>
  <w:p>
    <w:pPr>
      <w:pStyle w:val="Header"/>
      <w:jc w:val="center"/>
      <w:rPr>
        <w:rFonts w:ascii="Calibri" w:hAnsi="Calibri"/>
        <w:b/>
      </w:rPr>
    </w:pPr>
    <w:r>
      <w:rPr>
        <w:b/>
        <w:sz w:val="22"/>
        <w:szCs w:val="22"/>
      </w:rPr>
      <w:t>DO MUNICÍPIO DE SÃO GABRIEL DA PALHA</w:t>
    </w:r>
  </w:p>
  <w:p>
    <w:pPr>
      <w:pStyle w:val="Header"/>
      <w:jc w:val="center"/>
      <w:rPr>
        <w:rFonts w:ascii="Calibri" w:hAnsi="Calibri" w:eastAsia="sans-serif" w:cs="Verdana"/>
        <w:b/>
        <w:bCs/>
        <w:lang w:val="pt-BR"/>
      </w:rPr>
    </w:pPr>
    <w:r>
      <w:rPr>
        <w:rFonts w:eastAsia="sans-serif" w:cs="Verdana" w:ascii="Arial Narrow" w:hAnsi="Arial Narrow"/>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rFonts w:ascii="Verdana" w:hAnsi="Verdana"/>
        <w:b/>
      </w:rPr>
    </w:lvl>
    <w:lvl w:ilvl="1">
      <w:start w:val="1"/>
      <w:numFmt w:val="decimal"/>
      <w:lvlText w:val="%1.%2."/>
      <w:lvlJc w:val="start"/>
      <w:pPr>
        <w:tabs>
          <w:tab w:val="num" w:pos="0"/>
        </w:tabs>
        <w:ind w:start="567" w:hanging="207"/>
      </w:pPr>
      <w:rPr>
        <w:rFonts w:ascii="Verdana" w:hAnsi="Verdana"/>
        <w:b/>
        <w:i w:val="false"/>
        <w:iCs/>
        <w:color w:val="auto"/>
        <w:sz w:val="20"/>
        <w:szCs w:val="20"/>
      </w:rPr>
    </w:lvl>
    <w:lvl w:ilvl="2">
      <w:start w:val="1"/>
      <w:numFmt w:val="decimal"/>
      <w:lvlText w:val="%1.%2.%3."/>
      <w:lvlJc w:val="start"/>
      <w:pPr>
        <w:tabs>
          <w:tab w:val="num" w:pos="0"/>
        </w:tabs>
        <w:ind w:start="1224" w:hanging="504"/>
      </w:pPr>
      <w:rPr>
        <w:rFonts w:ascii="Verdana" w:hAnsi="Verdana" w:cs="Arial"/>
        <w:b/>
        <w:i w:val="false"/>
        <w:iCs/>
        <w:color w:val="auto"/>
      </w:rPr>
    </w:lvl>
    <w:lvl w:ilvl="3">
      <w:start w:val="1"/>
      <w:numFmt w:val="decimal"/>
      <w:lvlText w:val="%1.%2.%3.%4."/>
      <w:lvlJc w:val="start"/>
      <w:pPr>
        <w:tabs>
          <w:tab w:val="num" w:pos="0"/>
        </w:tabs>
        <w:ind w:start="1728" w:hanging="648"/>
      </w:pPr>
      <w:rPr>
        <w:b/>
        <w:bCs/>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
    <w:lvl w:ilvl="0">
      <w:start w:val="4"/>
      <w:numFmt w:val="decimal"/>
      <w:lvlText w:val="%1"/>
      <w:lvlJc w:val="start"/>
      <w:pPr>
        <w:tabs>
          <w:tab w:val="num" w:pos="0"/>
        </w:tabs>
        <w:ind w:start="435" w:hanging="435"/>
      </w:pPr>
      <w:rPr/>
    </w:lvl>
    <w:lvl w:ilvl="1">
      <w:start w:val="4"/>
      <w:numFmt w:val="decimal"/>
      <w:lvlText w:val="%1.%2"/>
      <w:lvlJc w:val="start"/>
      <w:pPr>
        <w:tabs>
          <w:tab w:val="num" w:pos="0"/>
        </w:tabs>
        <w:ind w:start="1002" w:hanging="435"/>
      </w:pPr>
      <w:rPr/>
    </w:lvl>
    <w:lvl w:ilvl="2">
      <w:start w:val="1"/>
      <w:numFmt w:val="decimal"/>
      <w:lvlText w:val="%1.%2.%3"/>
      <w:lvlJc w:val="start"/>
      <w:pPr>
        <w:tabs>
          <w:tab w:val="num" w:pos="0"/>
        </w:tabs>
        <w:ind w:start="1854" w:hanging="720"/>
      </w:pPr>
      <w:rPr/>
    </w:lvl>
    <w:lvl w:ilvl="3">
      <w:start w:val="1"/>
      <w:numFmt w:val="decimal"/>
      <w:lvlText w:val="%1.%2.%3.%4"/>
      <w:lvlJc w:val="start"/>
      <w:pPr>
        <w:tabs>
          <w:tab w:val="num" w:pos="0"/>
        </w:tabs>
        <w:ind w:start="2421" w:hanging="720"/>
      </w:pPr>
      <w:rPr/>
    </w:lvl>
    <w:lvl w:ilvl="4">
      <w:start w:val="1"/>
      <w:numFmt w:val="decimal"/>
      <w:lvlText w:val="%1.%2.%3.%4.%5"/>
      <w:lvlJc w:val="start"/>
      <w:pPr>
        <w:tabs>
          <w:tab w:val="num" w:pos="0"/>
        </w:tabs>
        <w:ind w:start="3348" w:hanging="1080"/>
      </w:pPr>
      <w:rPr/>
    </w:lvl>
    <w:lvl w:ilvl="5">
      <w:start w:val="1"/>
      <w:numFmt w:val="decimal"/>
      <w:lvlText w:val="%1.%2.%3.%4.%5.%6"/>
      <w:lvlJc w:val="start"/>
      <w:pPr>
        <w:tabs>
          <w:tab w:val="num" w:pos="0"/>
        </w:tabs>
        <w:ind w:start="3915" w:hanging="1080"/>
      </w:pPr>
      <w:rPr/>
    </w:lvl>
    <w:lvl w:ilvl="6">
      <w:start w:val="1"/>
      <w:numFmt w:val="decimal"/>
      <w:lvlText w:val="%1.%2.%3.%4.%5.%6.%7"/>
      <w:lvlJc w:val="start"/>
      <w:pPr>
        <w:tabs>
          <w:tab w:val="num" w:pos="0"/>
        </w:tabs>
        <w:ind w:start="4842" w:hanging="1440"/>
      </w:pPr>
      <w:rPr/>
    </w:lvl>
    <w:lvl w:ilvl="7">
      <w:start w:val="1"/>
      <w:numFmt w:val="decimal"/>
      <w:lvlText w:val="%1.%2.%3.%4.%5.%6.%7.%8"/>
      <w:lvlJc w:val="start"/>
      <w:pPr>
        <w:tabs>
          <w:tab w:val="num" w:pos="0"/>
        </w:tabs>
        <w:ind w:start="5409" w:hanging="1440"/>
      </w:pPr>
      <w:rPr/>
    </w:lvl>
    <w:lvl w:ilvl="8">
      <w:start w:val="1"/>
      <w:numFmt w:val="decimal"/>
      <w:lvlText w:val="%1.%2.%3.%4.%5.%6.%7.%8.%9"/>
      <w:lvlJc w:val="start"/>
      <w:pPr>
        <w:tabs>
          <w:tab w:val="num" w:pos="0"/>
        </w:tabs>
        <w:ind w:start="6336" w:hanging="1800"/>
      </w:pPr>
      <w:rPr/>
    </w:lvl>
  </w:abstractNum>
  <w:abstractNum w:abstractNumId="3">
    <w:lvl w:ilvl="0">
      <w:start w:val="1"/>
      <w:numFmt w:val="decimal"/>
      <w:lvlText w:val="%1."/>
      <w:lvlJc w:val="start"/>
      <w:pPr>
        <w:tabs>
          <w:tab w:val="num" w:pos="0"/>
        </w:tabs>
        <w:ind w:start="360" w:hanging="360"/>
      </w:pPr>
      <w:rPr>
        <w:b/>
      </w:rPr>
    </w:lvl>
    <w:lvl w:ilvl="1">
      <w:start w:val="1"/>
      <w:numFmt w:val="decimal"/>
      <w:lvlText w:val="%1.%2."/>
      <w:lvlJc w:val="start"/>
      <w:pPr>
        <w:tabs>
          <w:tab w:val="num" w:pos="0"/>
        </w:tabs>
        <w:ind w:start="792" w:hanging="432"/>
      </w:pPr>
      <w:rPr>
        <w:b w:val="false"/>
        <w:i w:val="false"/>
        <w:iCs/>
      </w:rPr>
    </w:lvl>
    <w:lvl w:ilvl="2">
      <w:start w:val="1"/>
      <w:numFmt w:val="lowerLetter"/>
      <w:lvlText w:val="%3)"/>
      <w:lvlJc w:val="start"/>
      <w:pPr>
        <w:tabs>
          <w:tab w:val="num" w:pos="0"/>
        </w:tabs>
        <w:ind w:start="1224" w:hanging="504"/>
      </w:pPr>
      <w:rPr>
        <w:b/>
        <w:bCs/>
        <w:i w:val="false"/>
        <w:iCs/>
        <w:color w:val="auto"/>
      </w:rPr>
    </w:lvl>
    <w:lvl w:ilvl="3">
      <w:start w:val="1"/>
      <w:numFmt w:val="decimal"/>
      <w:lvlText w:val="%1.%2.%3.%4."/>
      <w:lvlJc w:val="start"/>
      <w:pPr>
        <w:tabs>
          <w:tab w:val="num" w:pos="0"/>
        </w:tabs>
        <w:ind w:start="1728"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4">
    <w:lvl w:ilvl="0">
      <w:start w:val="1"/>
      <w:numFmt w:val="lowerLetter"/>
      <w:lvlText w:val="%1)"/>
      <w:lvlJc w:val="start"/>
      <w:pPr>
        <w:tabs>
          <w:tab w:val="num" w:pos="0"/>
        </w:tabs>
        <w:ind w:start="1350" w:hanging="360"/>
      </w:pPr>
      <w:rPr>
        <w:b/>
        <w:bCs/>
      </w:rPr>
    </w:lvl>
    <w:lvl w:ilvl="1">
      <w:start w:val="1"/>
      <w:numFmt w:val="lowerLetter"/>
      <w:lvlText w:val="%2."/>
      <w:lvlJc w:val="start"/>
      <w:pPr>
        <w:tabs>
          <w:tab w:val="num" w:pos="0"/>
        </w:tabs>
        <w:ind w:start="2070" w:hanging="360"/>
      </w:pPr>
      <w:rPr/>
    </w:lvl>
    <w:lvl w:ilvl="2">
      <w:start w:val="1"/>
      <w:numFmt w:val="lowerRoman"/>
      <w:lvlText w:val="%3."/>
      <w:lvlJc w:val="end"/>
      <w:pPr>
        <w:tabs>
          <w:tab w:val="num" w:pos="0"/>
        </w:tabs>
        <w:ind w:start="2790" w:hanging="180"/>
      </w:pPr>
      <w:rPr/>
    </w:lvl>
    <w:lvl w:ilvl="3">
      <w:start w:val="1"/>
      <w:numFmt w:val="decimal"/>
      <w:lvlText w:val="%4."/>
      <w:lvlJc w:val="start"/>
      <w:pPr>
        <w:tabs>
          <w:tab w:val="num" w:pos="0"/>
        </w:tabs>
        <w:ind w:start="3510" w:hanging="360"/>
      </w:pPr>
      <w:rPr/>
    </w:lvl>
    <w:lvl w:ilvl="4">
      <w:start w:val="1"/>
      <w:numFmt w:val="lowerLetter"/>
      <w:lvlText w:val="%5."/>
      <w:lvlJc w:val="start"/>
      <w:pPr>
        <w:tabs>
          <w:tab w:val="num" w:pos="0"/>
        </w:tabs>
        <w:ind w:start="4230" w:hanging="360"/>
      </w:pPr>
      <w:rPr/>
    </w:lvl>
    <w:lvl w:ilvl="5">
      <w:start w:val="1"/>
      <w:numFmt w:val="lowerRoman"/>
      <w:lvlText w:val="%6."/>
      <w:lvlJc w:val="end"/>
      <w:pPr>
        <w:tabs>
          <w:tab w:val="num" w:pos="0"/>
        </w:tabs>
        <w:ind w:start="4950" w:hanging="180"/>
      </w:pPr>
      <w:rPr/>
    </w:lvl>
    <w:lvl w:ilvl="6">
      <w:start w:val="1"/>
      <w:numFmt w:val="decimal"/>
      <w:lvlText w:val="%7."/>
      <w:lvlJc w:val="start"/>
      <w:pPr>
        <w:tabs>
          <w:tab w:val="num" w:pos="0"/>
        </w:tabs>
        <w:ind w:start="5670" w:hanging="360"/>
      </w:pPr>
      <w:rPr/>
    </w:lvl>
    <w:lvl w:ilvl="7">
      <w:start w:val="1"/>
      <w:numFmt w:val="lowerLetter"/>
      <w:lvlText w:val="%8."/>
      <w:lvlJc w:val="start"/>
      <w:pPr>
        <w:tabs>
          <w:tab w:val="num" w:pos="0"/>
        </w:tabs>
        <w:ind w:start="6390" w:hanging="360"/>
      </w:pPr>
      <w:rPr/>
    </w:lvl>
    <w:lvl w:ilvl="8">
      <w:start w:val="1"/>
      <w:numFmt w:val="lowerRoman"/>
      <w:lvlText w:val="%9."/>
      <w:lvlJc w:val="end"/>
      <w:pPr>
        <w:tabs>
          <w:tab w:val="num" w:pos="0"/>
        </w:tabs>
        <w:ind w:start="7110" w:hanging="180"/>
      </w:pPr>
      <w:rPr/>
    </w:lvl>
  </w:abstractNum>
  <w:abstractNum w:abstractNumId="5">
    <w:lvl w:ilvl="0">
      <w:start w:val="1"/>
      <w:numFmt w:val="decimal"/>
      <w:lvlText w:val="%1."/>
      <w:lvlJc w:val="start"/>
      <w:pPr>
        <w:tabs>
          <w:tab w:val="num" w:pos="0"/>
        </w:tabs>
        <w:ind w:start="1068" w:hanging="360"/>
      </w:pPr>
      <w:rPr/>
    </w:lvl>
    <w:lvl w:ilvl="1">
      <w:start w:val="1"/>
      <w:numFmt w:val="lowerLetter"/>
      <w:lvlText w:val="%2."/>
      <w:lvlJc w:val="start"/>
      <w:pPr>
        <w:tabs>
          <w:tab w:val="num" w:pos="0"/>
        </w:tabs>
        <w:ind w:start="1788" w:hanging="360"/>
      </w:pPr>
      <w:rPr/>
    </w:lvl>
    <w:lvl w:ilvl="2">
      <w:start w:val="1"/>
      <w:numFmt w:val="lowerRoman"/>
      <w:lvlText w:val="%3."/>
      <w:lvlJc w:val="end"/>
      <w:pPr>
        <w:tabs>
          <w:tab w:val="num" w:pos="0"/>
        </w:tabs>
        <w:ind w:start="2508" w:hanging="180"/>
      </w:pPr>
      <w:rPr/>
    </w:lvl>
    <w:lvl w:ilvl="3">
      <w:start w:val="1"/>
      <w:numFmt w:val="decimal"/>
      <w:lvlText w:val="%4."/>
      <w:lvlJc w:val="start"/>
      <w:pPr>
        <w:tabs>
          <w:tab w:val="num" w:pos="0"/>
        </w:tabs>
        <w:ind w:start="3228" w:hanging="360"/>
      </w:pPr>
      <w:rPr/>
    </w:lvl>
    <w:lvl w:ilvl="4">
      <w:start w:val="1"/>
      <w:numFmt w:val="lowerLetter"/>
      <w:lvlText w:val="%5."/>
      <w:lvlJc w:val="start"/>
      <w:pPr>
        <w:tabs>
          <w:tab w:val="num" w:pos="0"/>
        </w:tabs>
        <w:ind w:start="3948" w:hanging="360"/>
      </w:pPr>
      <w:rPr/>
    </w:lvl>
    <w:lvl w:ilvl="5">
      <w:start w:val="1"/>
      <w:numFmt w:val="lowerRoman"/>
      <w:lvlText w:val="%6."/>
      <w:lvlJc w:val="end"/>
      <w:pPr>
        <w:tabs>
          <w:tab w:val="num" w:pos="0"/>
        </w:tabs>
        <w:ind w:start="4668" w:hanging="180"/>
      </w:pPr>
      <w:rPr/>
    </w:lvl>
    <w:lvl w:ilvl="6">
      <w:start w:val="1"/>
      <w:numFmt w:val="decimal"/>
      <w:lvlText w:val="%7."/>
      <w:lvlJc w:val="start"/>
      <w:pPr>
        <w:tabs>
          <w:tab w:val="num" w:pos="0"/>
        </w:tabs>
        <w:ind w:start="5388" w:hanging="360"/>
      </w:pPr>
      <w:rPr/>
    </w:lvl>
    <w:lvl w:ilvl="7">
      <w:start w:val="1"/>
      <w:numFmt w:val="lowerLetter"/>
      <w:lvlText w:val="%8."/>
      <w:lvlJc w:val="start"/>
      <w:pPr>
        <w:tabs>
          <w:tab w:val="num" w:pos="0"/>
        </w:tabs>
        <w:ind w:start="6108" w:hanging="360"/>
      </w:pPr>
      <w:rPr/>
    </w:lvl>
    <w:lvl w:ilvl="8">
      <w:start w:val="1"/>
      <w:numFmt w:val="lowerRoman"/>
      <w:lvlText w:val="%9."/>
      <w:lvlJc w:val="end"/>
      <w:pPr>
        <w:tabs>
          <w:tab w:val="num" w:pos="0"/>
        </w:tabs>
        <w:ind w:start="6828" w:hanging="180"/>
      </w:pPr>
      <w:rPr/>
    </w:lvl>
  </w:abstractNum>
  <w:abstractNum w:abstractNumId="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start"/>
    </w:pPr>
    <w:rPr>
      <w:rFonts w:ascii="Arial" w:hAnsi="Arial" w:eastAsia="Times New Roman" w:cs="Tahoma"/>
      <w:color w:val="auto"/>
      <w:kern w:val="0"/>
      <w:sz w:val="20"/>
      <w:szCs w:val="24"/>
      <w:lang w:val="pt-BR" w:eastAsia="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Comment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Hyperlink">
    <w:name w:val="Hyperlink"/>
    <w:basedOn w:val="DefaultParagraphFont"/>
    <w:unhideWhenUsed/>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WW8Num2z0">
    <w:name w:val="WW8Num2z0"/>
    <w:qFormat/>
    <w:rPr>
      <w:b/>
    </w:rPr>
  </w:style>
  <w:style w:type="character" w:styleId="WW8Num2z1">
    <w:name w:val="WW8Num2z1"/>
    <w:qFormat/>
    <w:rPr>
      <w:b w:val="false"/>
      <w:i w:val="false"/>
      <w:strike w:val="false"/>
      <w:dstrike w:val="false"/>
      <w:color w:val="auto"/>
      <w:sz w:val="20"/>
      <w:szCs w:val="20"/>
      <w:u w:val="none"/>
    </w:rPr>
  </w:style>
  <w:style w:type="character" w:styleId="WW8Num2z2">
    <w:name w:val="WW8Num2z2"/>
    <w:qFormat/>
    <w:rPr>
      <w:b w:val="false"/>
      <w:i w:val="false"/>
      <w:strike w:val="false"/>
      <w:dstrike w:val="false"/>
      <w:color w:val="auto"/>
      <w:sz w:val="20"/>
      <w:szCs w:val="20"/>
    </w:rPr>
  </w:style>
  <w:style w:type="character" w:styleId="DefaultParagraphFont1">
    <w:name w:val="Default Paragraph Font1"/>
    <w:qFormat/>
    <w:rPr/>
  </w:style>
  <w:style w:type="character" w:styleId="FollowedHyperlink">
    <w:name w:val="FollowedHyperlink"/>
    <w:basedOn w:val="DefaultParagraphFont1"/>
    <w:rPr>
      <w:color w:val="800080"/>
      <w:u w:val="single"/>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normaltextrun">
    <w:name w:val="normaltextrun"/>
    <w:basedOn w:val="DefaultParagraphFont1"/>
    <w:qFormat/>
    <w:rPr/>
  </w:style>
  <w:style w:type="character" w:styleId="text-truncate-expanded">
    <w:name w:val="text-truncate-expanded"/>
    <w:basedOn w:val="DefaultParagraphFont"/>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hanging="0" w:end="-15"/>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rsid w:val="006a70c8"/>
    <w:pPr>
      <w:spacing w:before="0" w:after="0"/>
      <w:ind w:hanging="0" w:star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CommentText">
    <w:name w:val="annotation text"/>
    <w:basedOn w:val="Normal"/>
    <w:link w:val="TextodecomentrioChar"/>
    <w:unhideWhenUsed/>
    <w:qFormat/>
    <w:rsid w:val="003d08af"/>
    <w:pPr/>
    <w:rPr>
      <w:szCs w:val="20"/>
    </w:rPr>
  </w:style>
  <w:style w:type="paragraph" w:styleId="annotationsubject">
    <w:name w:val="annotation subject"/>
    <w:basedOn w:val="CommentText"/>
    <w:next w:val="Comment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start="644"/>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star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hanging="0" w:end="-30"/>
      <w:jc w:val="both"/>
    </w:pPr>
    <w:rPr>
      <w:rFonts w:ascii="Arial" w:hAnsi="Arial" w:eastAsia="Times New Roman" w:cs="Arial"/>
      <w:b/>
      <w:color w:val="000000"/>
      <w:sz w:val="24"/>
      <w:szCs w:val="24"/>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hanging="0" w:start="720" w:end="0"/>
      <w:contextualSpacing/>
    </w:pPr>
    <w:rPr>
      <w:rFonts w:ascii="Calibri" w:hAnsi="Calibri" w:eastAsia="Calibri" w:cs="Calibri"/>
      <w:sz w:val="22"/>
      <w:szCs w:val="22"/>
    </w:rPr>
  </w:style>
  <w:style w:type="paragraph" w:styleId="TableParagraph">
    <w:name w:val="Table Paragraph"/>
    <w:basedOn w:val="Normal"/>
    <w:qFormat/>
    <w:pPr/>
    <w:rPr/>
  </w:style>
  <w:style w:type="paragraph" w:styleId="Contedodatabelauser">
    <w:name w:val="Conteúdo da tabela (user)"/>
    <w:basedOn w:val="Normal"/>
    <w:qFormat/>
    <w:pPr>
      <w:widowControl w:val="false"/>
      <w:suppressLineNumbers/>
    </w:pPr>
    <w:rPr/>
  </w:style>
  <w:style w:type="paragraph" w:styleId="Notaexplicativa">
    <w:name w:val="Nota explicativa"/>
    <w:basedOn w:val="Quote"/>
    <w:qFormat/>
    <w:pPr/>
    <w:rPr>
      <w:szCs w:val="20"/>
    </w:rPr>
  </w:style>
  <w:style w:type="paragraph" w:styleId="Nvel01-SemNumerao">
    <w:name w:val="Nível 01-Sem Numeração"/>
    <w:basedOn w:val="Normal"/>
    <w:qFormat/>
    <w:pPr>
      <w:keepNext w:val="true"/>
      <w:keepLines/>
      <w:spacing w:lineRule="auto" w:line="276" w:before="240" w:after="120"/>
      <w:jc w:val="both"/>
      <w:outlineLvl w:val="1"/>
    </w:pPr>
    <w:rPr>
      <w:rFonts w:ascii="Calibri" w:hAnsi="Calibri" w:eastAsia="ＭＳ ゴシック" w:cs="Calibri"/>
      <w:b/>
      <w:bCs/>
      <w:sz w:val="22"/>
      <w:szCs w:val="22"/>
    </w:rPr>
  </w:style>
  <w:style w:type="paragraph" w:styleId="Nvel2-Red">
    <w:name w:val="Nível 2 -Red"/>
    <w:basedOn w:val="Nivel2"/>
    <w:qFormat/>
    <w:pPr>
      <w:numPr>
        <w:ilvl w:val="0"/>
        <w:numId w:val="5"/>
      </w:numPr>
    </w:pPr>
    <w:rPr>
      <w:iCs/>
    </w:rPr>
  </w:style>
  <w:style w:type="paragraph" w:styleId="Nvel3-R">
    <w:name w:val="Nível 3-R"/>
    <w:basedOn w:val="Nivel3"/>
    <w:qFormat/>
    <w:pPr/>
    <w:rPr>
      <w:i/>
      <w:iCs/>
      <w:color w:val="FF0000"/>
    </w:rPr>
  </w:style>
  <w:style w:type="paragraph" w:styleId="11TR">
    <w:name w:val="1.1 TR"/>
    <w:basedOn w:val="ListParagraph"/>
    <w:qFormat/>
    <w:pPr>
      <w:numPr>
        <w:ilvl w:val="1"/>
        <w:numId w:val="2"/>
      </w:numPr>
      <w:spacing w:lineRule="auto" w:line="240" w:before="0" w:after="0"/>
      <w:contextualSpacing w:val="false"/>
      <w:jc w:val="both"/>
    </w:pPr>
    <w:rPr>
      <w:rFonts w:ascii="Arial" w:hAnsi="Arial" w:cs="Arial"/>
      <w:sz w:val="24"/>
      <w:szCs w:val="24"/>
    </w:rPr>
  </w:style>
  <w:style w:type="paragraph" w:styleId="ITENSDOCONTRATO">
    <w:name w:val="ITENS DO CONTRATO"/>
    <w:basedOn w:val="11TR"/>
    <w:qFormat/>
    <w:pPr>
      <w:numPr>
        <w:ilvl w:val="0"/>
        <w:numId w:val="0"/>
      </w:numPr>
      <w:spacing w:lineRule="auto" w:line="360"/>
      <w:ind w:hanging="0" w:start="720"/>
    </w:pPr>
    <w:rPr>
      <w:rFonts w:eastAsia="Calibri"/>
      <w:bCs/>
      <w:sz w:val="22"/>
    </w:rPr>
  </w:style>
  <w:style w:type="paragraph" w:styleId="CLUSULA">
    <w:name w:val="CLÁUSULA"/>
    <w:basedOn w:val="ITENSDOCONTRATO"/>
    <w:qFormat/>
    <w:pPr/>
    <w:rPr>
      <w:b/>
    </w:rPr>
  </w:style>
  <w:style w:type="paragraph" w:styleId="Textbody">
    <w:name w:val="Text body"/>
    <w:basedOn w:val="Standard"/>
    <w:qFormat/>
    <w:pPr>
      <w:spacing w:lineRule="auto" w:line="288" w:before="0" w:after="140"/>
    </w:pPr>
    <w:rPr/>
  </w:style>
  <w:style w:type="numbering" w:styleId="Semlistauser" w:default="1">
    <w:name w:val="Sem lista (user)"/>
    <w:uiPriority w:val="99"/>
    <w:semiHidden/>
    <w:unhideWhenUsed/>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s://catalogo.compras.gov.br/cnbs-web/busca" TargetMode="External"/><Relationship Id="rId4" Type="http://schemas.openxmlformats.org/officeDocument/2006/relationships/hyperlink" Target="http://www.planalto.gov.br/ccivil_03/LEIS/L6404consol.htm"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Application>LibreOffice/25.8.5.2$Windows_X86_64 LibreOffice_project/9c8b85f387cc00a89945a79c9e6239f32e450ac2</Application>
  <AppVersion>15.0000</AppVersion>
  <Pages>11</Pages>
  <Words>4641</Words>
  <Characters>26779</Characters>
  <CharactersWithSpaces>31095</CharactersWithSpaces>
  <Paragraphs>202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2026-04-02T11:53:06Z</cp:lastPrinted>
  <dcterms:modified xsi:type="dcterms:W3CDTF">2026-04-02T12:35:24Z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